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pacing w:before="0" w:beforeAutospacing="0" w:after="0" w:afterAutospacing="0"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shd w:val="clear" w:color="auto" w:fill="FFFFFF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shd w:val="clear" w:color="auto" w:fill="FFFFFF"/>
          <w:lang w:val="en-US" w:eastAsia="zh-CN" w:bidi="ar-SA"/>
        </w:rPr>
        <w:t>郑州电子信息职业技术学院</w:t>
      </w:r>
    </w:p>
    <w:p>
      <w:pPr>
        <w:pStyle w:val="2"/>
        <w:keepNext w:val="0"/>
        <w:keepLines w:val="0"/>
        <w:widowControl/>
        <w:spacing w:before="0" w:beforeAutospacing="0" w:after="0" w:afterAutospacing="0" w:line="560" w:lineRule="exact"/>
        <w:jc w:val="center"/>
        <w:outlineLvl w:val="0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shd w:val="clear" w:color="auto" w:fill="FFFFFF"/>
          <w:lang w:val="en-US" w:eastAsia="zh-CN" w:bidi="ar-SA"/>
        </w:rPr>
        <w:t>2025届毕业生就业线上监测工作培训会议</w:t>
      </w:r>
      <w:r>
        <w:rPr>
          <w:rFonts w:hint="eastAsia"/>
        </w:rPr>
        <w:t xml:space="preserve">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为全面落实河南省教育厅关于高校毕业生就业工作的决策部署，提升就业服务与数据管理水平，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日上午，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我校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图书馆九楼会议室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组织各院系就业工作负责同志、毕业班辅导员集中参加全省2025届毕业生就业工作推进及监测反馈线上培训会议。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404995" cy="2876550"/>
            <wp:effectExtent l="0" t="0" r="14605" b="0"/>
            <wp:docPr id="1" name="图片 1" descr="微信图片_20250410155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410155628"/>
                    <pic:cNvPicPr>
                      <a:picLocks noChangeAspect="1"/>
                    </pic:cNvPicPr>
                  </pic:nvPicPr>
                  <pic:blipFill>
                    <a:blip r:embed="rId4"/>
                    <a:srcRect l="3299" t="15810"/>
                    <a:stretch>
                      <a:fillRect/>
                    </a:stretch>
                  </pic:blipFill>
                  <pic:spPr>
                    <a:xfrm>
                      <a:off x="0" y="0"/>
                      <a:ext cx="440499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会议首阶段聚焦就业监测政策与“全国高校毕业生去向登记系统”操作培训。省教育厅专家详细解读了就业数据统计规范，强调严守纪律要求，规范就业数据填报流程，确保就业信息的真实性、准确性和完整性。同时，针对“河南省高校毕业生毕业去向登记平台”的操作使用进行了专项培训，帮助各学院进一步明晰就业监测工作的要点和流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为规范就业信息管理提供指导。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572000" cy="2893060"/>
            <wp:effectExtent l="0" t="0" r="0" b="2540"/>
            <wp:docPr id="2" name="图片 2" descr="微信图片_20250410155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50410155637"/>
                    <pic:cNvPicPr>
                      <a:picLocks noChangeAspect="1"/>
                    </pic:cNvPicPr>
                  </pic:nvPicPr>
                  <pic:blipFill>
                    <a:blip r:embed="rId5"/>
                    <a:srcRect t="17566" r="229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就业工作推进环节，会议传达了省教育厅对2025届毕业生就业工作的总体部署，要求各高校围绕区域发展需求，进一步完善就业工作机制，拓宽就业渠道，优化就业服务。会议强调，各高校需压实主体责任，强化精准帮扶，严格把控就业数据质量，确保就业工作稳步推进。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4699000" cy="2959100"/>
            <wp:effectExtent l="0" t="0" r="6350" b="12700"/>
            <wp:docPr id="3" name="图片 3" descr="微信图片_20250410155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50410155642"/>
                    <pic:cNvPicPr>
                      <a:picLocks noChangeAspect="1"/>
                    </pic:cNvPicPr>
                  </pic:nvPicPr>
                  <pic:blipFill>
                    <a:blip r:embed="rId6"/>
                    <a:srcRect t="7033" r="4441" b="12729"/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会后，校就业指导中心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沈宏学部长</w:t>
      </w:r>
      <w:r>
        <w:rPr>
          <w:rFonts w:hint="eastAsia" w:ascii="仿宋_GB2312" w:hAnsi="仿宋_GB2312" w:eastAsia="仿宋_GB2312" w:cs="仿宋_GB2312"/>
          <w:sz w:val="32"/>
          <w:szCs w:val="32"/>
        </w:rPr>
        <w:t>，强调各院系要迅速行动，细化责任分工，确保政策落实；加强数据动态管理，规范使用登记系统；深化校企协同，创新服务模式，为毕业生高质量就业提供坚实保障。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本次线上会议以目标为导向、以问题为抓手，通过政策解读、技术培训和经验共享，进一步凝聚了就业工作共识。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我校</w:t>
      </w:r>
      <w:r>
        <w:rPr>
          <w:rFonts w:hint="eastAsia" w:ascii="仿宋_GB2312" w:hAnsi="仿宋_GB2312" w:eastAsia="仿宋_GB2312" w:cs="仿宋_GB2312"/>
          <w:sz w:val="32"/>
          <w:szCs w:val="32"/>
        </w:rPr>
        <w:t>将以此次会议为契机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精准施策、数据赋能，全力推动2025届毕业生高质量就业，为区域发展提供人才支撑。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370A3"/>
    <w:rsid w:val="03EE44E3"/>
    <w:rsid w:val="0485072D"/>
    <w:rsid w:val="06985876"/>
    <w:rsid w:val="072542FB"/>
    <w:rsid w:val="074E35F3"/>
    <w:rsid w:val="08AB581F"/>
    <w:rsid w:val="0A172069"/>
    <w:rsid w:val="0B142E32"/>
    <w:rsid w:val="0C4571AC"/>
    <w:rsid w:val="0D4601BC"/>
    <w:rsid w:val="0EC34DDF"/>
    <w:rsid w:val="0EF56204"/>
    <w:rsid w:val="0F4645E9"/>
    <w:rsid w:val="101B4F25"/>
    <w:rsid w:val="106261D1"/>
    <w:rsid w:val="11F35B1A"/>
    <w:rsid w:val="148B56FC"/>
    <w:rsid w:val="149D7B30"/>
    <w:rsid w:val="15824BA0"/>
    <w:rsid w:val="1BAE65C6"/>
    <w:rsid w:val="1DAA7D29"/>
    <w:rsid w:val="1E2B71F2"/>
    <w:rsid w:val="1F05405C"/>
    <w:rsid w:val="204A614F"/>
    <w:rsid w:val="211A2CDA"/>
    <w:rsid w:val="22570CF0"/>
    <w:rsid w:val="296F6946"/>
    <w:rsid w:val="2A56341F"/>
    <w:rsid w:val="2B681C2F"/>
    <w:rsid w:val="2D3D378F"/>
    <w:rsid w:val="31463A58"/>
    <w:rsid w:val="332D31CF"/>
    <w:rsid w:val="3364588D"/>
    <w:rsid w:val="34C46EEF"/>
    <w:rsid w:val="372B4FA8"/>
    <w:rsid w:val="37E75806"/>
    <w:rsid w:val="385A3A9D"/>
    <w:rsid w:val="39E9048C"/>
    <w:rsid w:val="3F9C1AD3"/>
    <w:rsid w:val="3FEB0AE8"/>
    <w:rsid w:val="3FFD7873"/>
    <w:rsid w:val="3FFF39CD"/>
    <w:rsid w:val="41810378"/>
    <w:rsid w:val="419C6E8B"/>
    <w:rsid w:val="42696233"/>
    <w:rsid w:val="47322BFD"/>
    <w:rsid w:val="47881669"/>
    <w:rsid w:val="481A68D6"/>
    <w:rsid w:val="48D77D52"/>
    <w:rsid w:val="49164CB9"/>
    <w:rsid w:val="4B8409C2"/>
    <w:rsid w:val="4BAD4ECD"/>
    <w:rsid w:val="4CC167FC"/>
    <w:rsid w:val="4EFE4F10"/>
    <w:rsid w:val="4FFE33B6"/>
    <w:rsid w:val="507F201D"/>
    <w:rsid w:val="51613E2E"/>
    <w:rsid w:val="521F386A"/>
    <w:rsid w:val="529E294F"/>
    <w:rsid w:val="556F2AAC"/>
    <w:rsid w:val="56306661"/>
    <w:rsid w:val="57712292"/>
    <w:rsid w:val="599773EB"/>
    <w:rsid w:val="5A264686"/>
    <w:rsid w:val="5B6D10A6"/>
    <w:rsid w:val="5B8573D6"/>
    <w:rsid w:val="5BF935F0"/>
    <w:rsid w:val="5C470260"/>
    <w:rsid w:val="5E5A2A41"/>
    <w:rsid w:val="5EA326C2"/>
    <w:rsid w:val="5EBA1D8C"/>
    <w:rsid w:val="5FB16336"/>
    <w:rsid w:val="609D3FD1"/>
    <w:rsid w:val="61532852"/>
    <w:rsid w:val="62184C6E"/>
    <w:rsid w:val="627921B1"/>
    <w:rsid w:val="64212AA6"/>
    <w:rsid w:val="65B45787"/>
    <w:rsid w:val="66921AB2"/>
    <w:rsid w:val="67D9749D"/>
    <w:rsid w:val="688B249A"/>
    <w:rsid w:val="698D0910"/>
    <w:rsid w:val="6B3750AD"/>
    <w:rsid w:val="6B8626E4"/>
    <w:rsid w:val="6B9B17A2"/>
    <w:rsid w:val="6BCF6E36"/>
    <w:rsid w:val="6C563516"/>
    <w:rsid w:val="6E150970"/>
    <w:rsid w:val="6E49193D"/>
    <w:rsid w:val="71937D72"/>
    <w:rsid w:val="72C60464"/>
    <w:rsid w:val="74980527"/>
    <w:rsid w:val="74CA6F37"/>
    <w:rsid w:val="765658C0"/>
    <w:rsid w:val="77C5631B"/>
    <w:rsid w:val="7A8B6CDF"/>
    <w:rsid w:val="7B5C666B"/>
    <w:rsid w:val="7F1A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2025-04-09T01:04:00Z</dcterms:created>
  <dc:creator>h</dc:creator>
  <cp:lastModifiedBy>晶</cp:lastModifiedBy>
  <dcterms:modified xsi:type="dcterms:W3CDTF">2025-04-10T08:01:10Z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